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B520" w14:textId="26DAE59E" w:rsidR="00537B4F" w:rsidRPr="00545223" w:rsidRDefault="00537B4F" w:rsidP="00545223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Pour assurer le succès du système de gestion environnemental </w:t>
      </w:r>
      <w:r w:rsidR="00545223">
        <w:rPr>
          <w:rFonts w:ascii="Trebuchet MS" w:eastAsia="Times New Roman" w:hAnsi="Trebuchet MS" w:cs="Times New Roman"/>
          <w:sz w:val="22"/>
          <w:szCs w:val="22"/>
        </w:rPr>
        <w:t>(SME) Le Coq vert</w:t>
      </w: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 dans </w:t>
      </w:r>
      <w:r w:rsidR="00545223">
        <w:rPr>
          <w:rFonts w:ascii="Trebuchet MS" w:eastAsia="Times New Roman" w:hAnsi="Trebuchet MS" w:cs="Times New Roman"/>
          <w:sz w:val="22"/>
          <w:szCs w:val="22"/>
        </w:rPr>
        <w:t>sa</w:t>
      </w: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 propre communauté, il </w:t>
      </w:r>
      <w:r w:rsidR="00545223">
        <w:rPr>
          <w:rFonts w:ascii="Trebuchet MS" w:eastAsia="Times New Roman" w:hAnsi="Trebuchet MS" w:cs="Times New Roman"/>
          <w:sz w:val="22"/>
          <w:szCs w:val="22"/>
        </w:rPr>
        <w:t xml:space="preserve">est utile d’analyser </w:t>
      </w:r>
      <w:r w:rsidRPr="00545223">
        <w:rPr>
          <w:rFonts w:ascii="Trebuchet MS" w:eastAsia="Times New Roman" w:hAnsi="Trebuchet MS" w:cs="Times New Roman"/>
          <w:b/>
          <w:bCs/>
          <w:sz w:val="22"/>
          <w:szCs w:val="22"/>
        </w:rPr>
        <w:t xml:space="preserve">les </w:t>
      </w:r>
      <w:r w:rsidR="00545223" w:rsidRPr="00545223">
        <w:rPr>
          <w:rFonts w:ascii="Trebuchet MS" w:eastAsia="Times New Roman" w:hAnsi="Trebuchet MS" w:cs="Times New Roman"/>
          <w:b/>
          <w:bCs/>
          <w:sz w:val="22"/>
          <w:szCs w:val="22"/>
        </w:rPr>
        <w:t xml:space="preserve">risques et les </w:t>
      </w:r>
      <w:r w:rsidRPr="00545223">
        <w:rPr>
          <w:rFonts w:ascii="Trebuchet MS" w:eastAsia="Times New Roman" w:hAnsi="Trebuchet MS" w:cs="Times New Roman"/>
          <w:b/>
          <w:bCs/>
          <w:sz w:val="22"/>
          <w:szCs w:val="22"/>
        </w:rPr>
        <w:t>opportunités</w:t>
      </w:r>
      <w:r w:rsidR="00545223">
        <w:rPr>
          <w:rFonts w:ascii="Trebuchet MS" w:eastAsia="Times New Roman" w:hAnsi="Trebuchet MS" w:cs="Times New Roman"/>
          <w:b/>
          <w:bCs/>
          <w:sz w:val="22"/>
          <w:szCs w:val="22"/>
        </w:rPr>
        <w:t xml:space="preserve"> </w:t>
      </w:r>
      <w:r w:rsidR="00545223" w:rsidRPr="00545223">
        <w:rPr>
          <w:rFonts w:ascii="Trebuchet MS" w:eastAsia="Times New Roman" w:hAnsi="Trebuchet MS" w:cs="Times New Roman"/>
          <w:sz w:val="22"/>
          <w:szCs w:val="22"/>
        </w:rPr>
        <w:t>de la démarche.</w:t>
      </w:r>
    </w:p>
    <w:p w14:paraId="3EAD4B7E" w14:textId="72040F99" w:rsidR="00537B4F" w:rsidRPr="00537B4F" w:rsidRDefault="00F2060B" w:rsidP="00537B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rebuchet MS" w:eastAsia="Times New Roman" w:hAnsi="Trebuchet MS" w:cs="Times New Roman"/>
          <w:sz w:val="22"/>
          <w:szCs w:val="22"/>
        </w:rPr>
        <w:t>Nous pouvons y penser</w:t>
      </w:r>
      <w:r w:rsidR="00537B4F" w:rsidRPr="00537B4F">
        <w:rPr>
          <w:rFonts w:ascii="Trebuchet MS" w:eastAsia="Times New Roman" w:hAnsi="Trebuchet MS" w:cs="Times New Roman"/>
          <w:sz w:val="22"/>
          <w:szCs w:val="22"/>
        </w:rPr>
        <w:t xml:space="preserve"> le plus concrètement possible : quelles sont les </w:t>
      </w:r>
      <w:r w:rsidR="00D138CF">
        <w:rPr>
          <w:rFonts w:ascii="Trebuchet MS" w:eastAsia="Times New Roman" w:hAnsi="Trebuchet MS" w:cs="Times New Roman"/>
          <w:sz w:val="22"/>
          <w:szCs w:val="22"/>
        </w:rPr>
        <w:t>avantages ou opportunités que</w:t>
      </w:r>
      <w:r w:rsidR="00537B4F" w:rsidRPr="00537B4F">
        <w:rPr>
          <w:rFonts w:ascii="Trebuchet MS" w:eastAsia="Times New Roman" w:hAnsi="Trebuchet MS" w:cs="Times New Roman"/>
          <w:sz w:val="22"/>
          <w:szCs w:val="22"/>
        </w:rPr>
        <w:t xml:space="preserve"> l'introduction du SME </w:t>
      </w:r>
      <w:r w:rsidR="00D138CF">
        <w:rPr>
          <w:rFonts w:ascii="Trebuchet MS" w:eastAsia="Times New Roman" w:hAnsi="Trebuchet MS" w:cs="Times New Roman"/>
          <w:sz w:val="22"/>
          <w:szCs w:val="22"/>
        </w:rPr>
        <w:t xml:space="preserve">Coq vert peut apporter à la communauté </w:t>
      </w:r>
      <w:r w:rsidR="00537B4F" w:rsidRPr="00537B4F">
        <w:rPr>
          <w:rFonts w:ascii="Trebuchet MS" w:eastAsia="Times New Roman" w:hAnsi="Trebuchet MS" w:cs="Times New Roman"/>
          <w:sz w:val="22"/>
          <w:szCs w:val="22"/>
        </w:rPr>
        <w:t>et quels risques devons-nous prendre en compte ?</w:t>
      </w:r>
    </w:p>
    <w:p w14:paraId="1935E376" w14:textId="24456503" w:rsidR="00537B4F" w:rsidRPr="00537B4F" w:rsidRDefault="00537B4F" w:rsidP="00537B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Les deux </w:t>
      </w:r>
      <w:r w:rsidR="00F2060B">
        <w:rPr>
          <w:rFonts w:ascii="Trebuchet MS" w:eastAsia="Times New Roman" w:hAnsi="Trebuchet MS" w:cs="Times New Roman"/>
          <w:sz w:val="22"/>
          <w:szCs w:val="22"/>
        </w:rPr>
        <w:t>tableaux suivants</w:t>
      </w: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 </w:t>
      </w:r>
      <w:r w:rsidR="00F2060B">
        <w:rPr>
          <w:rFonts w:ascii="Trebuchet MS" w:eastAsia="Times New Roman" w:hAnsi="Trebuchet MS" w:cs="Times New Roman"/>
          <w:sz w:val="22"/>
          <w:szCs w:val="22"/>
        </w:rPr>
        <w:t>ont été esquissés pour</w:t>
      </w: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 </w:t>
      </w:r>
      <w:r w:rsidR="00F2060B">
        <w:rPr>
          <w:rFonts w:ascii="Trebuchet MS" w:eastAsia="Times New Roman" w:hAnsi="Trebuchet MS" w:cs="Times New Roman"/>
          <w:sz w:val="22"/>
          <w:szCs w:val="22"/>
        </w:rPr>
        <w:t>n</w:t>
      </w: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ous aider à </w:t>
      </w:r>
      <w:r w:rsidR="00F2060B">
        <w:rPr>
          <w:rFonts w:ascii="Trebuchet MS" w:eastAsia="Times New Roman" w:hAnsi="Trebuchet MS" w:cs="Times New Roman"/>
          <w:sz w:val="22"/>
          <w:szCs w:val="22"/>
        </w:rPr>
        <w:t>faire</w:t>
      </w: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 </w:t>
      </w:r>
      <w:r w:rsidR="008730A0">
        <w:rPr>
          <w:rFonts w:ascii="Trebuchet MS" w:eastAsia="Times New Roman" w:hAnsi="Trebuchet MS" w:cs="Times New Roman"/>
          <w:sz w:val="22"/>
          <w:szCs w:val="22"/>
        </w:rPr>
        <w:t xml:space="preserve">une </w:t>
      </w:r>
      <w:r w:rsidR="00F2060B">
        <w:rPr>
          <w:rFonts w:ascii="Trebuchet MS" w:eastAsia="Times New Roman" w:hAnsi="Trebuchet MS" w:cs="Times New Roman"/>
          <w:sz w:val="22"/>
          <w:szCs w:val="22"/>
        </w:rPr>
        <w:t>analyse</w:t>
      </w:r>
      <w:r w:rsidR="008730A0">
        <w:rPr>
          <w:rFonts w:ascii="Trebuchet MS" w:eastAsia="Times New Roman" w:hAnsi="Trebuchet MS" w:cs="Times New Roman"/>
          <w:sz w:val="22"/>
          <w:szCs w:val="22"/>
        </w:rPr>
        <w:t xml:space="preserve"> pour notre paroisse ou communauté</w:t>
      </w: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. </w:t>
      </w:r>
      <w:r w:rsidR="00F2060B">
        <w:rPr>
          <w:rFonts w:ascii="Trebuchet MS" w:eastAsia="Times New Roman" w:hAnsi="Trebuchet MS" w:cs="Times New Roman"/>
          <w:sz w:val="22"/>
          <w:szCs w:val="22"/>
        </w:rPr>
        <w:t>N</w:t>
      </w:r>
      <w:r w:rsidRPr="00537B4F">
        <w:rPr>
          <w:rFonts w:ascii="Trebuchet MS" w:eastAsia="Times New Roman" w:hAnsi="Trebuchet MS" w:cs="Times New Roman"/>
          <w:sz w:val="22"/>
          <w:szCs w:val="22"/>
        </w:rPr>
        <w:t>ous pouv</w:t>
      </w:r>
      <w:r w:rsidR="00F2060B">
        <w:rPr>
          <w:rFonts w:ascii="Trebuchet MS" w:eastAsia="Times New Roman" w:hAnsi="Trebuchet MS" w:cs="Times New Roman"/>
          <w:sz w:val="22"/>
          <w:szCs w:val="22"/>
        </w:rPr>
        <w:t>ons</w:t>
      </w:r>
      <w:r w:rsidRPr="00537B4F">
        <w:rPr>
          <w:rFonts w:ascii="Trebuchet MS" w:eastAsia="Times New Roman" w:hAnsi="Trebuchet MS" w:cs="Times New Roman"/>
          <w:sz w:val="22"/>
          <w:szCs w:val="22"/>
        </w:rPr>
        <w:t xml:space="preserve"> utiliser l'un des deux modèles et les modifier.</w:t>
      </w:r>
    </w:p>
    <w:p w14:paraId="4363F2AB" w14:textId="77777777" w:rsidR="00537B4F" w:rsidRPr="00537B4F" w:rsidRDefault="00537B4F" w:rsidP="00537B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37B4F">
        <w:rPr>
          <w:rFonts w:ascii="Trebuchet MS" w:eastAsia="Times New Roman" w:hAnsi="Trebuchet MS" w:cs="Times New Roman"/>
          <w:sz w:val="22"/>
          <w:szCs w:val="22"/>
        </w:rPr>
        <w:t> </w:t>
      </w:r>
    </w:p>
    <w:p w14:paraId="6C616AED" w14:textId="51911BA0" w:rsidR="00537B4F" w:rsidRPr="00537B4F" w:rsidRDefault="00976D94" w:rsidP="00537B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rebuchet MS" w:eastAsia="Times New Roman" w:hAnsi="Trebuchet MS" w:cs="Times New Roman"/>
          <w:sz w:val="22"/>
          <w:szCs w:val="22"/>
        </w:rPr>
        <w:t>Le premier tableau</w:t>
      </w:r>
      <w:r w:rsidR="00537B4F" w:rsidRPr="00537B4F">
        <w:rPr>
          <w:rFonts w:ascii="Trebuchet MS" w:eastAsia="Times New Roman" w:hAnsi="Trebuchet MS" w:cs="Times New Roman"/>
          <w:b/>
          <w:bCs/>
          <w:sz w:val="22"/>
          <w:szCs w:val="22"/>
        </w:rPr>
        <w:t xml:space="preserve"> </w:t>
      </w:r>
      <w:r w:rsidR="00537B4F" w:rsidRPr="00537B4F">
        <w:rPr>
          <w:rFonts w:ascii="Trebuchet MS" w:eastAsia="Times New Roman" w:hAnsi="Trebuchet MS" w:cs="Times New Roman"/>
          <w:sz w:val="22"/>
          <w:szCs w:val="22"/>
        </w:rPr>
        <w:t>est basée sur l'analyse dite « SWOT » :</w:t>
      </w:r>
    </w:p>
    <w:tbl>
      <w:tblPr>
        <w:tblW w:w="9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819"/>
      </w:tblGrid>
      <w:tr w:rsidR="00537B4F" w:rsidRPr="00537B4F" w14:paraId="28AA6236" w14:textId="77777777" w:rsidTr="00537B4F">
        <w:tc>
          <w:tcPr>
            <w:tcW w:w="493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FA02" w14:textId="48334A1B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Points forts du concept </w:t>
            </w:r>
            <w:r w:rsidR="00094C5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Coq vert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1EEE" w14:textId="1C2CDECF" w:rsidR="00537B4F" w:rsidRPr="00537B4F" w:rsidRDefault="00094C5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Les </w:t>
            </w:r>
            <w:r w:rsidR="00537B4F" w:rsidRPr="00537B4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faiblesses</w:t>
            </w:r>
          </w:p>
        </w:tc>
      </w:tr>
      <w:tr w:rsidR="00537B4F" w:rsidRPr="00537B4F" w14:paraId="19D2A135" w14:textId="77777777" w:rsidTr="00537B4F">
        <w:tc>
          <w:tcPr>
            <w:tcW w:w="4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66B9D" w14:textId="5517FCEA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>Mission biblique</w:t>
            </w:r>
            <w:r w:rsidR="00094C59">
              <w:rPr>
                <w:rFonts w:ascii="Calibri" w:eastAsia="Times New Roman" w:hAnsi="Calibri" w:cs="Calibri"/>
              </w:rPr>
              <w:t>,</w:t>
            </w:r>
            <w:r w:rsidRPr="00537B4F">
              <w:rPr>
                <w:rFonts w:ascii="Calibri" w:eastAsia="Times New Roman" w:hAnsi="Calibri" w:cs="Calibri"/>
              </w:rPr>
              <w:t xml:space="preserve"> chrétienne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3023" w14:textId="0E507A78" w:rsidR="00537B4F" w:rsidRPr="00537B4F" w:rsidRDefault="00094C5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E</w:t>
            </w:r>
            <w:r w:rsidR="00537B4F" w:rsidRPr="00537B4F">
              <w:rPr>
                <w:rFonts w:ascii="Calibri" w:eastAsia="Times New Roman" w:hAnsi="Calibri" w:cs="Calibri"/>
              </w:rPr>
              <w:t xml:space="preserve">fforts </w:t>
            </w:r>
            <w:r>
              <w:rPr>
                <w:rFonts w:ascii="Calibri" w:eastAsia="Times New Roman" w:hAnsi="Calibri" w:cs="Calibri"/>
              </w:rPr>
              <w:t xml:space="preserve">nécessaires </w:t>
            </w:r>
            <w:r w:rsidR="00537B4F" w:rsidRPr="00537B4F">
              <w:rPr>
                <w:rFonts w:ascii="Calibri" w:eastAsia="Times New Roman" w:hAnsi="Calibri" w:cs="Calibri"/>
              </w:rPr>
              <w:t>(personnel, financier)</w:t>
            </w:r>
          </w:p>
        </w:tc>
      </w:tr>
      <w:tr w:rsidR="00537B4F" w:rsidRPr="00537B4F" w14:paraId="4415E915" w14:textId="77777777" w:rsidTr="00537B4F">
        <w:tc>
          <w:tcPr>
            <w:tcW w:w="4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36B6" w14:textId="705DE318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>Système établi</w:t>
            </w:r>
            <w:r w:rsidR="00094C59">
              <w:rPr>
                <w:rFonts w:ascii="Calibri" w:eastAsia="Times New Roman" w:hAnsi="Calibri" w:cs="Calibri"/>
              </w:rPr>
              <w:t xml:space="preserve"> et reconnu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B064" w14:textId="56579259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D'autres </w:t>
            </w:r>
            <w:r w:rsidR="00094C59">
              <w:rPr>
                <w:rFonts w:ascii="Calibri" w:eastAsia="Times New Roman" w:hAnsi="Calibri" w:cs="Calibri"/>
              </w:rPr>
              <w:t>priorités</w:t>
            </w:r>
            <w:r w:rsidRPr="00537B4F">
              <w:rPr>
                <w:rFonts w:ascii="Calibri" w:eastAsia="Times New Roman" w:hAnsi="Calibri" w:cs="Calibri"/>
              </w:rPr>
              <w:t xml:space="preserve"> sont jugés </w:t>
            </w:r>
            <w:r w:rsidR="00094C59">
              <w:rPr>
                <w:rFonts w:ascii="Calibri" w:eastAsia="Times New Roman" w:hAnsi="Calibri" w:cs="Calibri"/>
              </w:rPr>
              <w:t>comme également importantes</w:t>
            </w:r>
            <w:r w:rsidRPr="00537B4F">
              <w:rPr>
                <w:rFonts w:ascii="Calibri" w:eastAsia="Times New Roman" w:hAnsi="Calibri" w:cs="Calibri"/>
              </w:rPr>
              <w:t xml:space="preserve"> </w:t>
            </w:r>
            <w:r w:rsidR="00094C59">
              <w:rPr>
                <w:rFonts w:ascii="Calibri" w:eastAsia="Times New Roman" w:hAnsi="Calibri" w:cs="Calibri"/>
              </w:rPr>
              <w:t>par la paroisse</w:t>
            </w:r>
          </w:p>
        </w:tc>
      </w:tr>
      <w:tr w:rsidR="00537B4F" w:rsidRPr="00537B4F" w14:paraId="760D1AD1" w14:textId="77777777" w:rsidTr="00537B4F">
        <w:tc>
          <w:tcPr>
            <w:tcW w:w="4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B51B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>Réduction des coûts énergétiques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848E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> </w:t>
            </w:r>
          </w:p>
        </w:tc>
      </w:tr>
      <w:tr w:rsidR="00537B4F" w:rsidRPr="00537B4F" w14:paraId="0F7F1D26" w14:textId="77777777" w:rsidTr="00537B4F">
        <w:tc>
          <w:tcPr>
            <w:tcW w:w="4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BEF5" w14:textId="1BF751C6" w:rsidR="00537B4F" w:rsidRPr="00537B4F" w:rsidRDefault="00094C5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Contribution à </w:t>
            </w:r>
            <w:r w:rsidR="00537B4F" w:rsidRPr="00537B4F">
              <w:rPr>
                <w:rFonts w:ascii="Calibri" w:eastAsia="Times New Roman" w:hAnsi="Calibri" w:cs="Calibri"/>
              </w:rPr>
              <w:t>la crédibilité</w:t>
            </w:r>
            <w:r>
              <w:rPr>
                <w:rFonts w:ascii="Calibri" w:eastAsia="Times New Roman" w:hAnsi="Calibri" w:cs="Calibri"/>
              </w:rPr>
              <w:t xml:space="preserve"> et à la responsabilisation de la paroisse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A0BC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> </w:t>
            </w:r>
          </w:p>
        </w:tc>
      </w:tr>
      <w:tr w:rsidR="00537B4F" w:rsidRPr="00537B4F" w14:paraId="0087B9F5" w14:textId="77777777" w:rsidTr="00537B4F">
        <w:tc>
          <w:tcPr>
            <w:tcW w:w="4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EDE9" w14:textId="3418442F" w:rsidR="00537B4F" w:rsidRPr="00537B4F" w:rsidRDefault="00094C5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Opportunités grâce à </w:t>
            </w:r>
            <w:r w:rsidR="00537B4F" w:rsidRPr="00537B4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l'introduction du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Coq vert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B279" w14:textId="57FA6A35" w:rsidR="00537B4F" w:rsidRPr="00537B4F" w:rsidRDefault="00094C5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</w:t>
            </w:r>
            <w:r w:rsidR="00537B4F" w:rsidRPr="00537B4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es risques</w:t>
            </w:r>
          </w:p>
        </w:tc>
      </w:tr>
      <w:tr w:rsidR="00537B4F" w:rsidRPr="00537B4F" w14:paraId="5B04B8A9" w14:textId="77777777" w:rsidTr="00537B4F">
        <w:tc>
          <w:tcPr>
            <w:tcW w:w="4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9AA2" w14:textId="15F45C0B" w:rsidR="00537B4F" w:rsidRPr="00537B4F" w:rsidRDefault="00094C59" w:rsidP="00094C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Une paroisse qui a des activités durables devient un</w:t>
            </w:r>
            <w:r w:rsidR="00537B4F" w:rsidRPr="00537B4F">
              <w:rPr>
                <w:rFonts w:ascii="Calibri" w:eastAsia="Times New Roman" w:hAnsi="Calibri" w:cs="Calibri"/>
              </w:rPr>
              <w:t xml:space="preserve"> modèle </w:t>
            </w:r>
            <w:r>
              <w:rPr>
                <w:rFonts w:ascii="Calibri" w:eastAsia="Times New Roman" w:hAnsi="Calibri" w:cs="Calibri"/>
              </w:rPr>
              <w:t xml:space="preserve">à suivre pour les autres et la société </w:t>
            </w:r>
            <w:r w:rsidR="00537B4F" w:rsidRPr="00537B4F">
              <w:rPr>
                <w:rFonts w:ascii="Calibri" w:eastAsia="Times New Roman" w:hAnsi="Calibri" w:cs="Calibri"/>
              </w:rPr>
              <w:t>(</w:t>
            </w:r>
            <w:r>
              <w:rPr>
                <w:rFonts w:ascii="Calibri" w:eastAsia="Times New Roman" w:hAnsi="Calibri" w:cs="Calibri"/>
              </w:rPr>
              <w:t>Il ne suffit p</w:t>
            </w:r>
            <w:r w:rsidR="00537B4F" w:rsidRPr="00537B4F">
              <w:rPr>
                <w:rFonts w:ascii="Calibri" w:eastAsia="Times New Roman" w:hAnsi="Calibri" w:cs="Calibri"/>
              </w:rPr>
              <w:t xml:space="preserve">as seulement </w:t>
            </w:r>
            <w:r>
              <w:rPr>
                <w:rFonts w:ascii="Calibri" w:eastAsia="Times New Roman" w:hAnsi="Calibri" w:cs="Calibri"/>
              </w:rPr>
              <w:t xml:space="preserve">de </w:t>
            </w:r>
            <w:r w:rsidR="00537B4F" w:rsidRPr="00537B4F">
              <w:rPr>
                <w:rFonts w:ascii="Calibri" w:eastAsia="Times New Roman" w:hAnsi="Calibri" w:cs="Calibri"/>
              </w:rPr>
              <w:t xml:space="preserve">prêcher, mais </w:t>
            </w:r>
            <w:r>
              <w:rPr>
                <w:rFonts w:ascii="Calibri" w:eastAsia="Times New Roman" w:hAnsi="Calibri" w:cs="Calibri"/>
              </w:rPr>
              <w:t xml:space="preserve">il faut aussi </w:t>
            </w:r>
            <w:r w:rsidR="00537B4F" w:rsidRPr="00537B4F">
              <w:rPr>
                <w:rFonts w:ascii="Calibri" w:eastAsia="Times New Roman" w:hAnsi="Calibri" w:cs="Calibri"/>
              </w:rPr>
              <w:t>donner l'exemple</w:t>
            </w:r>
            <w:r>
              <w:rPr>
                <w:rFonts w:ascii="Calibri" w:eastAsia="Times New Roman" w:hAnsi="Calibri" w:cs="Calibri"/>
              </w:rPr>
              <w:t> !</w:t>
            </w:r>
            <w:r w:rsidR="00537B4F" w:rsidRPr="00537B4F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2AAC" w14:textId="33321619" w:rsidR="00537B4F" w:rsidRPr="00537B4F" w:rsidRDefault="00094C5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La démarche n’est pas soutenue </w:t>
            </w:r>
            <w:r w:rsidR="00537B4F" w:rsidRPr="00537B4F">
              <w:rPr>
                <w:rFonts w:ascii="Calibri" w:eastAsia="Times New Roman" w:hAnsi="Calibri" w:cs="Calibri"/>
              </w:rPr>
              <w:t xml:space="preserve">par </w:t>
            </w:r>
            <w:r>
              <w:rPr>
                <w:rFonts w:ascii="Calibri" w:eastAsia="Times New Roman" w:hAnsi="Calibri" w:cs="Calibri"/>
              </w:rPr>
              <w:t xml:space="preserve">certain.es </w:t>
            </w:r>
            <w:r w:rsidR="00537B4F" w:rsidRPr="00537B4F">
              <w:rPr>
                <w:rFonts w:ascii="Calibri" w:eastAsia="Times New Roman" w:hAnsi="Calibri" w:cs="Calibri"/>
              </w:rPr>
              <w:t>employé</w:t>
            </w:r>
            <w:r>
              <w:rPr>
                <w:rFonts w:ascii="Calibri" w:eastAsia="Times New Roman" w:hAnsi="Calibri" w:cs="Calibri"/>
              </w:rPr>
              <w:t>.e</w:t>
            </w:r>
            <w:r w:rsidR="00537B4F" w:rsidRPr="00537B4F">
              <w:rPr>
                <w:rFonts w:ascii="Calibri" w:eastAsia="Times New Roman" w:hAnsi="Calibri" w:cs="Calibri"/>
              </w:rPr>
              <w:t xml:space="preserve">s ou les membres du </w:t>
            </w:r>
            <w:r>
              <w:rPr>
                <w:rFonts w:ascii="Calibri" w:eastAsia="Times New Roman" w:hAnsi="Calibri" w:cs="Calibri"/>
              </w:rPr>
              <w:t>conseil de paroisse</w:t>
            </w:r>
          </w:p>
        </w:tc>
      </w:tr>
      <w:tr w:rsidR="00537B4F" w:rsidRPr="00537B4F" w14:paraId="34791AB3" w14:textId="77777777" w:rsidTr="00537B4F">
        <w:tc>
          <w:tcPr>
            <w:tcW w:w="49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23BB" w14:textId="515AB185" w:rsidR="00537B4F" w:rsidRPr="00537B4F" w:rsidRDefault="00094C5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La paroisse voit son c</w:t>
            </w:r>
            <w:r w:rsidR="00537B4F" w:rsidRPr="00537B4F">
              <w:rPr>
                <w:rFonts w:ascii="Calibri" w:eastAsia="Times New Roman" w:hAnsi="Calibri" w:cs="Calibri"/>
              </w:rPr>
              <w:t>hamp d'activité élargi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974C" w14:textId="7959B797" w:rsidR="00537B4F" w:rsidRPr="00537B4F" w:rsidRDefault="00094C5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La démarche est abandonnée </w:t>
            </w:r>
            <w:r w:rsidR="00537B4F" w:rsidRPr="00537B4F">
              <w:rPr>
                <w:rFonts w:ascii="Calibri" w:eastAsia="Times New Roman" w:hAnsi="Calibri" w:cs="Calibri"/>
              </w:rPr>
              <w:t xml:space="preserve">pendant </w:t>
            </w:r>
            <w:r>
              <w:rPr>
                <w:rFonts w:ascii="Calibri" w:eastAsia="Times New Roman" w:hAnsi="Calibri" w:cs="Calibri"/>
              </w:rPr>
              <w:t>la phase d</w:t>
            </w:r>
            <w:r w:rsidR="00537B4F" w:rsidRPr="00537B4F">
              <w:rPr>
                <w:rFonts w:ascii="Calibri" w:eastAsia="Times New Roman" w:hAnsi="Calibri" w:cs="Calibri"/>
              </w:rPr>
              <w:t>'introduction</w:t>
            </w:r>
          </w:p>
        </w:tc>
      </w:tr>
      <w:tr w:rsidR="00537B4F" w:rsidRPr="00537B4F" w14:paraId="655EF3ED" w14:textId="77777777" w:rsidTr="00537B4F">
        <w:tc>
          <w:tcPr>
            <w:tcW w:w="493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0192" w14:textId="0A141207" w:rsidR="00537B4F" w:rsidRPr="00537B4F" w:rsidRDefault="0029151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La communauté crée des relations avec </w:t>
            </w:r>
            <w:r w:rsidR="00537B4F" w:rsidRPr="00537B4F">
              <w:rPr>
                <w:rFonts w:ascii="Calibri" w:eastAsia="Times New Roman" w:hAnsi="Calibri" w:cs="Calibri"/>
              </w:rPr>
              <w:t xml:space="preserve">des personnes en dehors de </w:t>
            </w:r>
            <w:r>
              <w:rPr>
                <w:rFonts w:ascii="Calibri" w:eastAsia="Times New Roman" w:hAnsi="Calibri" w:cs="Calibri"/>
              </w:rPr>
              <w:t>celle-ci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0EE3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6C0C6A9" w14:textId="77777777" w:rsidR="00537B4F" w:rsidRPr="00537B4F" w:rsidRDefault="00537B4F" w:rsidP="00537B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37B4F">
        <w:rPr>
          <w:rFonts w:ascii="Trebuchet MS" w:eastAsia="Times New Roman" w:hAnsi="Trebuchet MS" w:cs="Times New Roman"/>
          <w:sz w:val="22"/>
          <w:szCs w:val="22"/>
        </w:rPr>
        <w:t> </w:t>
      </w:r>
    </w:p>
    <w:p w14:paraId="2C91E2AA" w14:textId="77777777" w:rsidR="00537B4F" w:rsidRPr="00537B4F" w:rsidRDefault="00537B4F" w:rsidP="00537B4F">
      <w:pPr>
        <w:rPr>
          <w:rFonts w:ascii="Times New Roman" w:eastAsia="Times New Roman" w:hAnsi="Times New Roman" w:cs="Times New Roman"/>
        </w:rPr>
      </w:pPr>
      <w:r w:rsidRPr="00537B4F">
        <w:rPr>
          <w:rFonts w:ascii="Times New Roman" w:eastAsia="Times New Roman" w:hAnsi="Times New Roman" w:cs="Times New Roman"/>
        </w:rPr>
        <w:br w:type="page"/>
      </w:r>
    </w:p>
    <w:p w14:paraId="73B1601B" w14:textId="53B8F31D" w:rsidR="00537B4F" w:rsidRPr="00537B4F" w:rsidRDefault="00CF2ED3" w:rsidP="00537B4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rebuchet MS" w:eastAsia="Times New Roman" w:hAnsi="Trebuchet MS" w:cs="Times New Roman"/>
          <w:sz w:val="22"/>
          <w:szCs w:val="22"/>
        </w:rPr>
        <w:lastRenderedPageBreak/>
        <w:t>L</w:t>
      </w:r>
      <w:r w:rsidR="00537B4F" w:rsidRPr="00537B4F">
        <w:rPr>
          <w:rFonts w:ascii="Trebuchet MS" w:eastAsia="Times New Roman" w:hAnsi="Trebuchet MS" w:cs="Times New Roman"/>
          <w:sz w:val="22"/>
          <w:szCs w:val="22"/>
        </w:rPr>
        <w:t xml:space="preserve">e </w:t>
      </w:r>
      <w:r w:rsidR="00537B4F" w:rsidRPr="00537B4F">
        <w:rPr>
          <w:rFonts w:ascii="Trebuchet MS" w:eastAsia="Times New Roman" w:hAnsi="Trebuchet MS" w:cs="Times New Roman"/>
          <w:b/>
          <w:bCs/>
          <w:sz w:val="22"/>
          <w:szCs w:val="22"/>
        </w:rPr>
        <w:t xml:space="preserve">deuxième modèle </w:t>
      </w:r>
      <w:r>
        <w:rPr>
          <w:rFonts w:ascii="Trebuchet MS" w:eastAsia="Times New Roman" w:hAnsi="Trebuchet MS" w:cs="Times New Roman"/>
          <w:sz w:val="22"/>
          <w:szCs w:val="22"/>
        </w:rPr>
        <w:t>présente quelques remèdes</w:t>
      </w:r>
      <w:r w:rsidR="00537B4F" w:rsidRPr="00537B4F">
        <w:rPr>
          <w:rFonts w:ascii="Trebuchet MS" w:eastAsia="Times New Roman" w:hAnsi="Trebuchet MS" w:cs="Times New Roman"/>
          <w:sz w:val="22"/>
          <w:szCs w:val="22"/>
        </w:rPr>
        <w:t xml:space="preserve"> possibles </w:t>
      </w:r>
      <w:r>
        <w:rPr>
          <w:rFonts w:ascii="Trebuchet MS" w:eastAsia="Times New Roman" w:hAnsi="Trebuchet MS" w:cs="Times New Roman"/>
          <w:sz w:val="22"/>
          <w:szCs w:val="22"/>
        </w:rPr>
        <w:t>aux risques mentionnés</w:t>
      </w:r>
      <w:r w:rsidR="00537B4F" w:rsidRPr="00537B4F">
        <w:rPr>
          <w:rFonts w:ascii="Trebuchet MS" w:eastAsia="Times New Roman" w:hAnsi="Trebuchet MS" w:cs="Times New Roman"/>
          <w:sz w:val="22"/>
          <w:szCs w:val="22"/>
        </w:rPr>
        <w:t>: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6863"/>
      </w:tblGrid>
      <w:tr w:rsidR="00537B4F" w:rsidRPr="00537B4F" w14:paraId="62B21AD5" w14:textId="77777777" w:rsidTr="00537B4F">
        <w:tc>
          <w:tcPr>
            <w:tcW w:w="9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0EF88" w14:textId="3B39B66C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  <w:b/>
                <w:bCs/>
              </w:rPr>
              <w:t xml:space="preserve">Opportunités avec l'introduction du </w:t>
            </w:r>
            <w:r w:rsidR="00A443A0">
              <w:rPr>
                <w:rFonts w:ascii="Calibri" w:eastAsia="Times New Roman" w:hAnsi="Calibri" w:cs="Calibri"/>
                <w:b/>
                <w:bCs/>
              </w:rPr>
              <w:t>label Coq</w:t>
            </w:r>
            <w:r w:rsidRPr="00537B4F">
              <w:rPr>
                <w:rFonts w:ascii="Calibri" w:eastAsia="Times New Roman" w:hAnsi="Calibri" w:cs="Calibri"/>
                <w:b/>
                <w:bCs/>
              </w:rPr>
              <w:t xml:space="preserve"> vert </w:t>
            </w:r>
          </w:p>
        </w:tc>
      </w:tr>
      <w:tr w:rsidR="00537B4F" w:rsidRPr="00537B4F" w14:paraId="2910C6CA" w14:textId="77777777" w:rsidTr="0053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C42E8" w14:textId="13C90DD6" w:rsidR="00537B4F" w:rsidRPr="00537B4F" w:rsidRDefault="00AE6211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Rayonnement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F9CD8" w14:textId="34D3456C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Avec l'introduction du </w:t>
            </w:r>
            <w:r w:rsidR="00AE6211">
              <w:rPr>
                <w:rFonts w:ascii="Calibri" w:eastAsia="Times New Roman" w:hAnsi="Calibri" w:cs="Calibri"/>
              </w:rPr>
              <w:t>Coq vert</w:t>
            </w:r>
            <w:r w:rsidRPr="00537B4F">
              <w:rPr>
                <w:rFonts w:ascii="Calibri" w:eastAsia="Times New Roman" w:hAnsi="Calibri" w:cs="Calibri"/>
              </w:rPr>
              <w:t xml:space="preserve"> dans </w:t>
            </w:r>
            <w:r w:rsidR="00AE6211">
              <w:rPr>
                <w:rFonts w:ascii="Calibri" w:eastAsia="Times New Roman" w:hAnsi="Calibri" w:cs="Calibri"/>
              </w:rPr>
              <w:t>une</w:t>
            </w:r>
            <w:r w:rsidRPr="00537B4F">
              <w:rPr>
                <w:rFonts w:ascii="Calibri" w:eastAsia="Times New Roman" w:hAnsi="Calibri" w:cs="Calibri"/>
              </w:rPr>
              <w:t xml:space="preserve"> paroisse, le thème de la durabilité </w:t>
            </w:r>
            <w:r w:rsidR="00AE6211">
              <w:rPr>
                <w:rFonts w:ascii="Calibri" w:eastAsia="Times New Roman" w:hAnsi="Calibri" w:cs="Calibri"/>
              </w:rPr>
              <w:t xml:space="preserve"> sera davantage mis à l’ordre du jour </w:t>
            </w:r>
            <w:r w:rsidRPr="00537B4F">
              <w:rPr>
                <w:rFonts w:ascii="Calibri" w:eastAsia="Times New Roman" w:hAnsi="Calibri" w:cs="Calibri"/>
              </w:rPr>
              <w:t xml:space="preserve">dans la paroisse, le quartier et la ville. </w:t>
            </w:r>
          </w:p>
        </w:tc>
      </w:tr>
      <w:tr w:rsidR="00537B4F" w:rsidRPr="00537B4F" w14:paraId="26FB718D" w14:textId="77777777" w:rsidTr="0053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6EF55" w14:textId="67B0EEDC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Effet de modèle </w:t>
            </w:r>
            <w:r w:rsidR="00E70FA4">
              <w:rPr>
                <w:rFonts w:ascii="Calibri" w:eastAsia="Times New Roman" w:hAnsi="Calibri" w:cs="Calibri"/>
              </w:rPr>
              <w:t xml:space="preserve">positif </w:t>
            </w:r>
            <w:r w:rsidRPr="00537B4F">
              <w:rPr>
                <w:rFonts w:ascii="Calibri" w:eastAsia="Times New Roman" w:hAnsi="Calibri" w:cs="Calibri"/>
              </w:rPr>
              <w:t xml:space="preserve">pour </w:t>
            </w:r>
            <w:r w:rsidR="00E70FA4">
              <w:rPr>
                <w:rFonts w:ascii="Calibri" w:eastAsia="Times New Roman" w:hAnsi="Calibri" w:cs="Calibri"/>
              </w:rPr>
              <w:t xml:space="preserve">les autres </w:t>
            </w:r>
            <w:r w:rsidRPr="00537B4F">
              <w:rPr>
                <w:rFonts w:ascii="Calibri" w:eastAsia="Times New Roman" w:hAnsi="Calibri" w:cs="Calibri"/>
              </w:rPr>
              <w:t>paroisse</w:t>
            </w:r>
            <w:r w:rsidR="00E70FA4">
              <w:rPr>
                <w:rFonts w:ascii="Calibri" w:eastAsia="Times New Roman" w:hAnsi="Calibri" w:cs="Calibri"/>
              </w:rPr>
              <w:t>s</w:t>
            </w:r>
            <w:r w:rsidRPr="00537B4F">
              <w:rPr>
                <w:rFonts w:ascii="Calibri" w:eastAsia="Times New Roman" w:hAnsi="Calibri" w:cs="Calibri"/>
              </w:rPr>
              <w:t xml:space="preserve"> et organis</w:t>
            </w:r>
            <w:r w:rsidR="00E70FA4">
              <w:rPr>
                <w:rFonts w:ascii="Calibri" w:eastAsia="Times New Roman" w:hAnsi="Calibri" w:cs="Calibri"/>
              </w:rPr>
              <w:t>ations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83FFC" w14:textId="35344033" w:rsidR="00537B4F" w:rsidRPr="00537B4F" w:rsidRDefault="00E70FA4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La paroisse incite </w:t>
            </w:r>
            <w:r w:rsidR="00537B4F" w:rsidRPr="00537B4F">
              <w:rPr>
                <w:rFonts w:ascii="Calibri" w:eastAsia="Times New Roman" w:hAnsi="Calibri" w:cs="Calibri"/>
              </w:rPr>
              <w:t xml:space="preserve">également les autres à prendre des mesures concrètes. </w:t>
            </w:r>
          </w:p>
        </w:tc>
      </w:tr>
      <w:tr w:rsidR="00537B4F" w:rsidRPr="00537B4F" w14:paraId="7DF70D62" w14:textId="77777777" w:rsidTr="0053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0013F" w14:textId="67889BD8" w:rsidR="00537B4F" w:rsidRPr="00537B4F" w:rsidRDefault="00FD4C1C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Renforcement de la communauté</w:t>
            </w:r>
            <w:r w:rsidR="00537B4F" w:rsidRPr="00537B4F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C8B42" w14:textId="09C710C0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Par son engagement </w:t>
            </w:r>
            <w:r w:rsidR="00FD4C1C">
              <w:rPr>
                <w:rFonts w:ascii="Calibri" w:eastAsia="Times New Roman" w:hAnsi="Calibri" w:cs="Calibri"/>
              </w:rPr>
              <w:t>pour</w:t>
            </w:r>
            <w:r w:rsidRPr="00537B4F">
              <w:rPr>
                <w:rFonts w:ascii="Calibri" w:eastAsia="Times New Roman" w:hAnsi="Calibri" w:cs="Calibri"/>
              </w:rPr>
              <w:t xml:space="preserve"> la </w:t>
            </w:r>
            <w:r w:rsidR="00FD4C1C">
              <w:rPr>
                <w:rFonts w:ascii="Calibri" w:eastAsia="Times New Roman" w:hAnsi="Calibri" w:cs="Calibri"/>
              </w:rPr>
              <w:t>C</w:t>
            </w:r>
            <w:r w:rsidRPr="00537B4F">
              <w:rPr>
                <w:rFonts w:ascii="Calibri" w:eastAsia="Times New Roman" w:hAnsi="Calibri" w:cs="Calibri"/>
              </w:rPr>
              <w:t xml:space="preserve">réation, la paroisse peut gagner en </w:t>
            </w:r>
            <w:r w:rsidR="006F0F3D">
              <w:rPr>
                <w:rFonts w:ascii="Calibri" w:eastAsia="Times New Roman" w:hAnsi="Calibri" w:cs="Calibri"/>
              </w:rPr>
              <w:t>visibilité</w:t>
            </w:r>
            <w:r w:rsidRPr="00537B4F">
              <w:rPr>
                <w:rFonts w:ascii="Calibri" w:eastAsia="Times New Roman" w:hAnsi="Calibri" w:cs="Calibri"/>
              </w:rPr>
              <w:t xml:space="preserve"> sociale </w:t>
            </w:r>
            <w:r w:rsidR="006F0F3D">
              <w:rPr>
                <w:rFonts w:ascii="Calibri" w:eastAsia="Times New Roman" w:hAnsi="Calibri" w:cs="Calibri"/>
              </w:rPr>
              <w:t>et en crédibilité. Elle peut aussi, par cette activité, attirer</w:t>
            </w:r>
            <w:r w:rsidRPr="00537B4F">
              <w:rPr>
                <w:rFonts w:ascii="Calibri" w:eastAsia="Times New Roman" w:hAnsi="Calibri" w:cs="Calibri"/>
              </w:rPr>
              <w:t xml:space="preserve"> de nouvelles personnes </w:t>
            </w:r>
            <w:r w:rsidR="006F0F3D">
              <w:rPr>
                <w:rFonts w:ascii="Calibri" w:eastAsia="Times New Roman" w:hAnsi="Calibri" w:cs="Calibri"/>
              </w:rPr>
              <w:t>dans la communauté.</w:t>
            </w:r>
            <w:r w:rsidRPr="00537B4F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537B4F" w:rsidRPr="00537B4F" w14:paraId="38184334" w14:textId="77777777" w:rsidTr="0053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96177" w14:textId="04CF42BA" w:rsidR="00537B4F" w:rsidRPr="00537B4F" w:rsidRDefault="00D94412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Améliorer </w:t>
            </w:r>
            <w:r w:rsidR="009B4F10">
              <w:rPr>
                <w:rFonts w:ascii="Calibri" w:eastAsia="Times New Roman" w:hAnsi="Calibri" w:cs="Calibri"/>
              </w:rPr>
              <w:t xml:space="preserve">l’image </w:t>
            </w:r>
            <w:r w:rsidR="00537B4F" w:rsidRPr="00537B4F">
              <w:rPr>
                <w:rFonts w:ascii="Calibri" w:eastAsia="Times New Roman" w:hAnsi="Calibri" w:cs="Calibri"/>
              </w:rPr>
              <w:t xml:space="preserve">de l'Église </w:t>
            </w:r>
            <w:r>
              <w:rPr>
                <w:rFonts w:ascii="Calibri" w:eastAsia="Times New Roman" w:hAnsi="Calibri" w:cs="Calibri"/>
              </w:rPr>
              <w:t>en général et de la paroisse en particulier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CC543" w14:textId="42F98C15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Même si </w:t>
            </w:r>
            <w:r w:rsidR="00D94412">
              <w:rPr>
                <w:rFonts w:ascii="Calibri" w:eastAsia="Times New Roman" w:hAnsi="Calibri" w:cs="Calibri"/>
              </w:rPr>
              <w:t xml:space="preserve">la démarche n’a pas attiré </w:t>
            </w:r>
            <w:r w:rsidRPr="00537B4F">
              <w:rPr>
                <w:rFonts w:ascii="Calibri" w:eastAsia="Times New Roman" w:hAnsi="Calibri" w:cs="Calibri"/>
              </w:rPr>
              <w:t xml:space="preserve">de nouveaux membres ou </w:t>
            </w:r>
            <w:r w:rsidR="00D94412">
              <w:rPr>
                <w:rFonts w:ascii="Calibri" w:eastAsia="Times New Roman" w:hAnsi="Calibri" w:cs="Calibri"/>
              </w:rPr>
              <w:t xml:space="preserve">n’a pas réactivé </w:t>
            </w:r>
            <w:r w:rsidRPr="00537B4F">
              <w:rPr>
                <w:rFonts w:ascii="Calibri" w:eastAsia="Times New Roman" w:hAnsi="Calibri" w:cs="Calibri"/>
              </w:rPr>
              <w:t>des membres passifs, un</w:t>
            </w:r>
            <w:r w:rsidR="009B4F10">
              <w:rPr>
                <w:rFonts w:ascii="Calibri" w:eastAsia="Times New Roman" w:hAnsi="Calibri" w:cs="Calibri"/>
              </w:rPr>
              <w:t xml:space="preserve">e nouvelle installation </w:t>
            </w:r>
            <w:r w:rsidRPr="00537B4F">
              <w:rPr>
                <w:rFonts w:ascii="Calibri" w:eastAsia="Times New Roman" w:hAnsi="Calibri" w:cs="Calibri"/>
              </w:rPr>
              <w:t xml:space="preserve">photovoltaïque de quartier </w:t>
            </w:r>
            <w:r w:rsidR="009B4F10">
              <w:rPr>
                <w:rFonts w:ascii="Calibri" w:eastAsia="Times New Roman" w:hAnsi="Calibri" w:cs="Calibri"/>
              </w:rPr>
              <w:t xml:space="preserve">effectuée par la paroisse </w:t>
            </w:r>
            <w:r w:rsidRPr="00537B4F">
              <w:rPr>
                <w:rFonts w:ascii="Calibri" w:eastAsia="Times New Roman" w:hAnsi="Calibri" w:cs="Calibri"/>
              </w:rPr>
              <w:t>peut renforcer le réseautage et l'image positive de l'</w:t>
            </w:r>
            <w:r w:rsidR="009B4F10">
              <w:rPr>
                <w:rFonts w:ascii="Calibri" w:eastAsia="Times New Roman" w:hAnsi="Calibri" w:cs="Calibri"/>
              </w:rPr>
              <w:t>É</w:t>
            </w:r>
            <w:r w:rsidRPr="00537B4F">
              <w:rPr>
                <w:rFonts w:ascii="Calibri" w:eastAsia="Times New Roman" w:hAnsi="Calibri" w:cs="Calibri"/>
              </w:rPr>
              <w:t>glise dans le quartier.</w:t>
            </w:r>
          </w:p>
        </w:tc>
      </w:tr>
      <w:tr w:rsidR="00537B4F" w:rsidRPr="00537B4F" w14:paraId="2F487E41" w14:textId="77777777" w:rsidTr="0053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6EDA5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Réduire notre empreinte écologique 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79EEA" w14:textId="592C07B1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Comme effet direct de </w:t>
            </w:r>
            <w:r w:rsidR="00C00DD4">
              <w:rPr>
                <w:rFonts w:ascii="Calibri" w:eastAsia="Times New Roman" w:hAnsi="Calibri" w:cs="Calibri"/>
              </w:rPr>
              <w:t>la démarche Coq vert</w:t>
            </w:r>
            <w:r w:rsidRPr="00537B4F">
              <w:rPr>
                <w:rFonts w:ascii="Calibri" w:eastAsia="Times New Roman" w:hAnsi="Calibri" w:cs="Calibri"/>
              </w:rPr>
              <w:t xml:space="preserve">, nous </w:t>
            </w:r>
            <w:r w:rsidR="00C00DD4">
              <w:rPr>
                <w:rFonts w:ascii="Calibri" w:eastAsia="Times New Roman" w:hAnsi="Calibri" w:cs="Calibri"/>
              </w:rPr>
              <w:t xml:space="preserve">constatons en principe une réduction de </w:t>
            </w:r>
            <w:r w:rsidRPr="00537B4F">
              <w:rPr>
                <w:rFonts w:ascii="Calibri" w:eastAsia="Times New Roman" w:hAnsi="Calibri" w:cs="Calibri"/>
              </w:rPr>
              <w:t xml:space="preserve">l'empreinte écologique de </w:t>
            </w:r>
            <w:r w:rsidR="00C00DD4">
              <w:rPr>
                <w:rFonts w:ascii="Calibri" w:eastAsia="Times New Roman" w:hAnsi="Calibri" w:cs="Calibri"/>
              </w:rPr>
              <w:t>la</w:t>
            </w:r>
            <w:r w:rsidRPr="00537B4F">
              <w:rPr>
                <w:rFonts w:ascii="Calibri" w:eastAsia="Times New Roman" w:hAnsi="Calibri" w:cs="Calibri"/>
              </w:rPr>
              <w:t xml:space="preserve"> </w:t>
            </w:r>
            <w:r w:rsidR="00C00DD4">
              <w:rPr>
                <w:rFonts w:ascii="Calibri" w:eastAsia="Times New Roman" w:hAnsi="Calibri" w:cs="Calibri"/>
              </w:rPr>
              <w:t>paroisse</w:t>
            </w:r>
            <w:r w:rsidRPr="00537B4F">
              <w:rPr>
                <w:rFonts w:ascii="Calibri" w:eastAsia="Times New Roman" w:hAnsi="Calibri" w:cs="Calibri"/>
              </w:rPr>
              <w:t xml:space="preserve">. Indirectement, nous espérons </w:t>
            </w:r>
            <w:r w:rsidR="00C00DD4">
              <w:rPr>
                <w:rFonts w:ascii="Calibri" w:eastAsia="Times New Roman" w:hAnsi="Calibri" w:cs="Calibri"/>
              </w:rPr>
              <w:t xml:space="preserve">également que les </w:t>
            </w:r>
            <w:proofErr w:type="spellStart"/>
            <w:r w:rsidR="00C00DD4">
              <w:rPr>
                <w:rFonts w:ascii="Calibri" w:eastAsia="Times New Roman" w:hAnsi="Calibri" w:cs="Calibri"/>
              </w:rPr>
              <w:t>paroissien.nes</w:t>
            </w:r>
            <w:proofErr w:type="spellEnd"/>
            <w:r w:rsidR="00C00DD4">
              <w:rPr>
                <w:rFonts w:ascii="Calibri" w:eastAsia="Times New Roman" w:hAnsi="Calibri" w:cs="Calibri"/>
              </w:rPr>
              <w:t xml:space="preserve"> eux-mêmes soient sensibilisé.es et changent leur comportement personnel. </w:t>
            </w:r>
          </w:p>
        </w:tc>
      </w:tr>
      <w:tr w:rsidR="00537B4F" w:rsidRPr="00537B4F" w14:paraId="4D879C9B" w14:textId="77777777" w:rsidTr="0053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05836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Promouvoir les énergies renouvelables 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4C5DD" w14:textId="69718B56" w:rsidR="00537B4F" w:rsidRPr="00537B4F" w:rsidRDefault="004D4BA9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Une paroisse qui s’engage pour la durabilité et qui installe des panneaux photovoltaïques soutient sa commune</w:t>
            </w:r>
            <w:r w:rsidR="00537B4F" w:rsidRPr="00537B4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dans le domaine de la</w:t>
            </w:r>
            <w:r w:rsidR="00537B4F" w:rsidRPr="00537B4F">
              <w:rPr>
                <w:rFonts w:ascii="Calibri" w:eastAsia="Times New Roman" w:hAnsi="Calibri" w:cs="Calibri"/>
              </w:rPr>
              <w:t xml:space="preserve"> production d'énergies renouvelables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537B4F" w:rsidRPr="00537B4F" w14:paraId="0A1BC7D7" w14:textId="77777777" w:rsidTr="0053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FC0BF" w14:textId="463203A2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Créer des espaces de vie 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24271" w14:textId="1B2DA323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Créer des habitats pour les espèces menacées, pour les plantes et les animaux. </w:t>
            </w:r>
          </w:p>
        </w:tc>
      </w:tr>
      <w:tr w:rsidR="00537B4F" w:rsidRPr="00537B4F" w14:paraId="6492D76F" w14:textId="77777777" w:rsidTr="0053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E2DF6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Réduction des coûts énergétiques 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632AD" w14:textId="7CD28F1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L'argent économisé </w:t>
            </w:r>
            <w:r w:rsidR="00537BDD">
              <w:rPr>
                <w:rFonts w:ascii="Calibri" w:eastAsia="Times New Roman" w:hAnsi="Calibri" w:cs="Calibri"/>
              </w:rPr>
              <w:t>par les économies d’énergie peut être utilisé plus intelligemment ailleurs.</w:t>
            </w:r>
          </w:p>
        </w:tc>
      </w:tr>
      <w:tr w:rsidR="00537B4F" w:rsidRPr="00537B4F" w14:paraId="62AFDAB4" w14:textId="77777777" w:rsidTr="00537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FAD31" w14:textId="5EAA496F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S'adapter </w:t>
            </w:r>
            <w:r w:rsidR="00537BDD">
              <w:rPr>
                <w:rFonts w:ascii="Calibri" w:eastAsia="Times New Roman" w:hAnsi="Calibri" w:cs="Calibri"/>
              </w:rPr>
              <w:t>aux défis de notre époque</w:t>
            </w:r>
            <w:r w:rsidRPr="00537B4F">
              <w:rPr>
                <w:rFonts w:ascii="Calibri" w:eastAsia="Times New Roman" w:hAnsi="Calibri" w:cs="Calibri"/>
              </w:rPr>
              <w:t xml:space="preserve"> , </w:t>
            </w:r>
            <w:r w:rsidR="00537BDD">
              <w:rPr>
                <w:rFonts w:ascii="Calibri" w:eastAsia="Times New Roman" w:hAnsi="Calibri" w:cs="Calibri"/>
              </w:rPr>
              <w:t>être en phase avec l’actualité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411E9" w14:textId="201254D9" w:rsidR="00537B4F" w:rsidRPr="00537B4F" w:rsidRDefault="00537BDD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Les paroisses et communautés chrétiennes sont invitées à œuvrer </w:t>
            </w:r>
            <w:r w:rsidR="00537B4F" w:rsidRPr="00537B4F">
              <w:rPr>
                <w:rFonts w:ascii="Calibri" w:eastAsia="Times New Roman" w:hAnsi="Calibri" w:cs="Calibri"/>
              </w:rPr>
              <w:t xml:space="preserve">parmi les pionniers </w:t>
            </w:r>
            <w:r>
              <w:rPr>
                <w:rFonts w:ascii="Calibri" w:eastAsia="Times New Roman" w:hAnsi="Calibri" w:cs="Calibri"/>
              </w:rPr>
              <w:t xml:space="preserve">de la durabilité </w:t>
            </w:r>
            <w:r w:rsidR="00537B4F" w:rsidRPr="00537B4F">
              <w:rPr>
                <w:rFonts w:ascii="Calibri" w:eastAsia="Times New Roman" w:hAnsi="Calibri" w:cs="Calibri"/>
              </w:rPr>
              <w:t xml:space="preserve">et </w:t>
            </w:r>
            <w:r>
              <w:rPr>
                <w:rFonts w:ascii="Calibri" w:eastAsia="Times New Roman" w:hAnsi="Calibri" w:cs="Calibri"/>
              </w:rPr>
              <w:t>à donner</w:t>
            </w:r>
            <w:r w:rsidR="00537B4F" w:rsidRPr="00537B4F">
              <w:rPr>
                <w:rFonts w:ascii="Calibri" w:eastAsia="Times New Roman" w:hAnsi="Calibri" w:cs="Calibri"/>
              </w:rPr>
              <w:t xml:space="preserve"> le bon exemple. </w:t>
            </w:r>
          </w:p>
        </w:tc>
      </w:tr>
    </w:tbl>
    <w:p w14:paraId="0F661B09" w14:textId="77777777" w:rsidR="00537B4F" w:rsidRPr="00537B4F" w:rsidRDefault="00537B4F" w:rsidP="00537B4F">
      <w:pPr>
        <w:rPr>
          <w:rFonts w:ascii="Times New Roman" w:eastAsia="Times New Roman" w:hAnsi="Times New Roman" w:cs="Times New Roman"/>
          <w:vanish/>
        </w:rPr>
      </w:pPr>
    </w:p>
    <w:tbl>
      <w:tblPr>
        <w:tblW w:w="9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033"/>
        <w:gridCol w:w="3678"/>
      </w:tblGrid>
      <w:tr w:rsidR="00537B4F" w:rsidRPr="00537B4F" w14:paraId="2AA198C2" w14:textId="77777777" w:rsidTr="008F7ECC">
        <w:tc>
          <w:tcPr>
            <w:tcW w:w="6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7F478" w14:textId="4AFC7DC2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  <w:b/>
                <w:bCs/>
              </w:rPr>
              <w:t xml:space="preserve">Risques avec l'introduction du </w:t>
            </w:r>
            <w:r w:rsidR="00674F30">
              <w:rPr>
                <w:rFonts w:ascii="Calibri" w:eastAsia="Times New Roman" w:hAnsi="Calibri" w:cs="Calibri"/>
                <w:b/>
                <w:bCs/>
              </w:rPr>
              <w:t>label Coq</w:t>
            </w:r>
            <w:r w:rsidRPr="00537B4F">
              <w:rPr>
                <w:rFonts w:ascii="Calibri" w:eastAsia="Times New Roman" w:hAnsi="Calibri" w:cs="Calibri"/>
                <w:b/>
                <w:bCs/>
              </w:rPr>
              <w:t xml:space="preserve"> vert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A9562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  <w:b/>
                <w:bCs/>
              </w:rPr>
              <w:t xml:space="preserve">Contre-mesures potentielles </w:t>
            </w:r>
          </w:p>
        </w:tc>
      </w:tr>
      <w:tr w:rsidR="00537B4F" w:rsidRPr="00537B4F" w14:paraId="7C3D60DE" w14:textId="77777777" w:rsidTr="008F7E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E213F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Des attentes trop élevées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FE2E66" w14:textId="22810C1D" w:rsidR="00537B4F" w:rsidRPr="00537B4F" w:rsidRDefault="00674F30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Au sein de</w:t>
            </w:r>
            <w:r w:rsidR="00537B4F" w:rsidRPr="00537B4F">
              <w:rPr>
                <w:rFonts w:ascii="Calibri" w:eastAsia="Times New Roman" w:hAnsi="Calibri" w:cs="Calibri"/>
              </w:rPr>
              <w:t xml:space="preserve"> la paroisse, dans le quartier</w:t>
            </w:r>
            <w:r>
              <w:rPr>
                <w:rFonts w:ascii="Calibri" w:eastAsia="Times New Roman" w:hAnsi="Calibri" w:cs="Calibri"/>
              </w:rPr>
              <w:t xml:space="preserve"> ou </w:t>
            </w:r>
            <w:r w:rsidR="00537B4F" w:rsidRPr="00537B4F">
              <w:rPr>
                <w:rFonts w:ascii="Calibri" w:eastAsia="Times New Roman" w:hAnsi="Calibri" w:cs="Calibri"/>
              </w:rPr>
              <w:t xml:space="preserve">dans l'équipe </w:t>
            </w:r>
            <w:r w:rsidR="00824EDC">
              <w:rPr>
                <w:rFonts w:ascii="Calibri" w:eastAsia="Times New Roman" w:hAnsi="Calibri" w:cs="Calibri"/>
              </w:rPr>
              <w:t>E</w:t>
            </w:r>
            <w:r w:rsidR="00537B4F" w:rsidRPr="00537B4F">
              <w:rPr>
                <w:rFonts w:ascii="Calibri" w:eastAsia="Times New Roman" w:hAnsi="Calibri" w:cs="Calibri"/>
              </w:rPr>
              <w:t>nvironnem</w:t>
            </w:r>
            <w:r w:rsidR="00824EDC">
              <w:rPr>
                <w:rFonts w:ascii="Calibri" w:eastAsia="Times New Roman" w:hAnsi="Calibri" w:cs="Calibri"/>
              </w:rPr>
              <w:t>ent</w:t>
            </w:r>
            <w:r w:rsidR="00537B4F" w:rsidRPr="00537B4F">
              <w:rPr>
                <w:rFonts w:ascii="Calibri" w:eastAsia="Times New Roman" w:hAnsi="Calibri" w:cs="Calibri"/>
              </w:rPr>
              <w:t xml:space="preserve">, les déceptions sont </w:t>
            </w:r>
            <w:r>
              <w:rPr>
                <w:rFonts w:ascii="Calibri" w:eastAsia="Times New Roman" w:hAnsi="Calibri" w:cs="Calibri"/>
              </w:rPr>
              <w:t>possibles</w:t>
            </w:r>
            <w:r w:rsidR="00C763AB">
              <w:rPr>
                <w:rFonts w:ascii="Calibri" w:eastAsia="Times New Roman" w:hAnsi="Calibri" w:cs="Calibri"/>
              </w:rPr>
              <w:t>, les recadrages de projets fréquents.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6E7F5" w14:textId="4800FE53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>Communiqu</w:t>
            </w:r>
            <w:r w:rsidR="006C24AF">
              <w:rPr>
                <w:rFonts w:ascii="Calibri" w:eastAsia="Times New Roman" w:hAnsi="Calibri" w:cs="Calibri"/>
              </w:rPr>
              <w:t>ons</w:t>
            </w:r>
            <w:r w:rsidRPr="00537B4F">
              <w:rPr>
                <w:rFonts w:ascii="Calibri" w:eastAsia="Times New Roman" w:hAnsi="Calibri" w:cs="Calibri"/>
              </w:rPr>
              <w:t xml:space="preserve"> clairement ce qui est faisable. </w:t>
            </w:r>
            <w:r w:rsidRPr="00537B4F">
              <w:rPr>
                <w:rFonts w:ascii="Times New Roman" w:eastAsia="Times New Roman" w:hAnsi="Times New Roman" w:cs="Times New Roman"/>
              </w:rPr>
              <w:br/>
            </w:r>
            <w:r w:rsidRPr="00537B4F">
              <w:rPr>
                <w:rFonts w:ascii="Calibri" w:eastAsia="Times New Roman" w:hAnsi="Calibri" w:cs="Calibri"/>
              </w:rPr>
              <w:t xml:space="preserve">Ce risque recèle la chance que de nouveaux membres </w:t>
            </w:r>
            <w:r w:rsidR="00C763AB">
              <w:rPr>
                <w:rFonts w:ascii="Calibri" w:eastAsia="Times New Roman" w:hAnsi="Calibri" w:cs="Calibri"/>
              </w:rPr>
              <w:t xml:space="preserve">puissent </w:t>
            </w:r>
            <w:r w:rsidRPr="00537B4F">
              <w:rPr>
                <w:rFonts w:ascii="Calibri" w:eastAsia="Times New Roman" w:hAnsi="Calibri" w:cs="Calibri"/>
              </w:rPr>
              <w:t>apporte</w:t>
            </w:r>
            <w:r w:rsidR="006C24AF">
              <w:rPr>
                <w:rFonts w:ascii="Calibri" w:eastAsia="Times New Roman" w:hAnsi="Calibri" w:cs="Calibri"/>
              </w:rPr>
              <w:t>r</w:t>
            </w:r>
            <w:r w:rsidRPr="00537B4F">
              <w:rPr>
                <w:rFonts w:ascii="Calibri" w:eastAsia="Times New Roman" w:hAnsi="Calibri" w:cs="Calibri"/>
              </w:rPr>
              <w:t xml:space="preserve"> leurs idées</w:t>
            </w:r>
            <w:r w:rsidR="006C24AF">
              <w:rPr>
                <w:rFonts w:ascii="Calibri" w:eastAsia="Times New Roman" w:hAnsi="Calibri" w:cs="Calibri"/>
              </w:rPr>
              <w:t xml:space="preserve"> personnelles</w:t>
            </w:r>
            <w:r w:rsidRPr="00537B4F">
              <w:rPr>
                <w:rFonts w:ascii="Calibri" w:eastAsia="Times New Roman" w:hAnsi="Calibri" w:cs="Calibri"/>
              </w:rPr>
              <w:t>.</w:t>
            </w:r>
          </w:p>
        </w:tc>
      </w:tr>
      <w:tr w:rsidR="00537B4F" w:rsidRPr="00537B4F" w14:paraId="7CB848FB" w14:textId="77777777" w:rsidTr="008F7E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A0DB2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Mise en œuvre de grands projets trop lente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C58FA" w14:textId="5E922746" w:rsidR="00537B4F" w:rsidRPr="00537B4F" w:rsidRDefault="006C24AF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F</w:t>
            </w:r>
            <w:r w:rsidR="00537B4F" w:rsidRPr="00537B4F">
              <w:rPr>
                <w:rFonts w:ascii="Calibri" w:eastAsia="Times New Roman" w:hAnsi="Calibri" w:cs="Calibri"/>
              </w:rPr>
              <w:t>aute de f</w:t>
            </w:r>
            <w:r>
              <w:rPr>
                <w:rFonts w:ascii="Calibri" w:eastAsia="Times New Roman" w:hAnsi="Calibri" w:cs="Calibri"/>
              </w:rPr>
              <w:t>inancement suffisant</w:t>
            </w:r>
            <w:r w:rsidR="00537B4F" w:rsidRPr="00537B4F">
              <w:rPr>
                <w:rFonts w:ascii="Calibri" w:eastAsia="Times New Roman" w:hAnsi="Calibri" w:cs="Calibri"/>
              </w:rPr>
              <w:t xml:space="preserve"> ou en raison de la centralisation du processus décisionnel. Alors </w:t>
            </w:r>
            <w:r>
              <w:rPr>
                <w:rFonts w:ascii="Calibri" w:eastAsia="Times New Roman" w:hAnsi="Calibri" w:cs="Calibri"/>
              </w:rPr>
              <w:t>la paroisse pourrait se démotiver.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DE5D90" w14:textId="43E3C401" w:rsidR="00537B4F" w:rsidRPr="00537B4F" w:rsidRDefault="006C24AF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Persévérons  et </w:t>
            </w:r>
            <w:r w:rsidR="00537B4F" w:rsidRPr="00537B4F">
              <w:rPr>
                <w:rFonts w:ascii="Calibri" w:eastAsia="Times New Roman" w:hAnsi="Calibri" w:cs="Calibri"/>
              </w:rPr>
              <w:t>Rest</w:t>
            </w:r>
            <w:r>
              <w:rPr>
                <w:rFonts w:ascii="Calibri" w:eastAsia="Times New Roman" w:hAnsi="Calibri" w:cs="Calibri"/>
              </w:rPr>
              <w:t>ons</w:t>
            </w:r>
            <w:r w:rsidR="00537B4F" w:rsidRPr="00537B4F">
              <w:rPr>
                <w:rFonts w:ascii="Calibri" w:eastAsia="Times New Roman" w:hAnsi="Calibri" w:cs="Calibri"/>
              </w:rPr>
              <w:t xml:space="preserve"> à l'écoute</w:t>
            </w:r>
            <w:r>
              <w:rPr>
                <w:rFonts w:ascii="Calibri" w:eastAsia="Times New Roman" w:hAnsi="Calibri" w:cs="Calibri"/>
              </w:rPr>
              <w:t xml:space="preserve"> les uns des autres pour aller de l’avant.</w:t>
            </w:r>
            <w:r w:rsidR="00537B4F" w:rsidRPr="00537B4F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537B4F" w:rsidRPr="00537B4F" w14:paraId="5AD2405B" w14:textId="77777777" w:rsidTr="008F7E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4C60F" w14:textId="77777777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 xml:space="preserve">Perte de membres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F1779" w14:textId="4F644A8B" w:rsidR="00537B4F" w:rsidRPr="00537B4F" w:rsidRDefault="00067731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Certains membres de la communauté </w:t>
            </w:r>
            <w:r w:rsidR="00537B4F" w:rsidRPr="00537B4F">
              <w:rPr>
                <w:rFonts w:ascii="Calibri" w:eastAsia="Times New Roman" w:hAnsi="Calibri" w:cs="Calibri"/>
              </w:rPr>
              <w:t xml:space="preserve">ne peuvent pas s'identifier aux objectifs </w:t>
            </w:r>
            <w:r>
              <w:rPr>
                <w:rFonts w:ascii="Calibri" w:eastAsia="Times New Roman" w:hAnsi="Calibri" w:cs="Calibri"/>
              </w:rPr>
              <w:t xml:space="preserve">de </w:t>
            </w:r>
            <w:r>
              <w:rPr>
                <w:rFonts w:ascii="Calibri" w:eastAsia="Times New Roman" w:hAnsi="Calibri" w:cs="Calibri"/>
              </w:rPr>
              <w:lastRenderedPageBreak/>
              <w:t>durabilité validés par le conseil de paroisse</w:t>
            </w:r>
            <w:r w:rsidR="00537B4F" w:rsidRPr="00537B4F">
              <w:rPr>
                <w:rFonts w:ascii="Calibri" w:eastAsia="Times New Roman" w:hAnsi="Calibri" w:cs="Calibri"/>
              </w:rPr>
              <w:t xml:space="preserve">.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457A0" w14:textId="0DDC8A0F" w:rsidR="00537B4F" w:rsidRPr="00537B4F" w:rsidRDefault="00067731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La démarche Coq vert a un fondement théologique solide sur la </w:t>
            </w:r>
            <w:r w:rsidR="008F7ECC">
              <w:rPr>
                <w:rFonts w:ascii="Calibri" w:eastAsia="Times New Roman" w:hAnsi="Calibri" w:cs="Calibri"/>
              </w:rPr>
              <w:t>B</w:t>
            </w:r>
            <w:r>
              <w:rPr>
                <w:rFonts w:ascii="Calibri" w:eastAsia="Times New Roman" w:hAnsi="Calibri" w:cs="Calibri"/>
              </w:rPr>
              <w:t>ible et la tradition de l’Église</w:t>
            </w:r>
            <w:r w:rsidR="00537B4F" w:rsidRPr="00537B4F">
              <w:rPr>
                <w:rFonts w:ascii="Calibri" w:eastAsia="Times New Roman" w:hAnsi="Calibri" w:cs="Calibri"/>
              </w:rPr>
              <w:t xml:space="preserve">; </w:t>
            </w:r>
            <w:r w:rsidR="008F7ECC">
              <w:rPr>
                <w:rFonts w:ascii="Calibri" w:eastAsia="Times New Roman" w:hAnsi="Calibri" w:cs="Calibri"/>
              </w:rPr>
              <w:lastRenderedPageBreak/>
              <w:t xml:space="preserve">d’autre part, il est important de </w:t>
            </w:r>
            <w:r w:rsidR="00537B4F" w:rsidRPr="00537B4F">
              <w:rPr>
                <w:rFonts w:ascii="Calibri" w:eastAsia="Times New Roman" w:hAnsi="Calibri" w:cs="Calibri"/>
              </w:rPr>
              <w:t>ne pas négliger les autres domaines d'activité</w:t>
            </w:r>
            <w:r w:rsidR="008F7ECC">
              <w:rPr>
                <w:rFonts w:ascii="Calibri" w:eastAsia="Times New Roman" w:hAnsi="Calibri" w:cs="Calibri"/>
              </w:rPr>
              <w:t xml:space="preserve"> de la paroisse qui ne sont pas dans le programme environnemental</w:t>
            </w:r>
            <w:r w:rsidR="00537B4F" w:rsidRPr="00537B4F">
              <w:rPr>
                <w:rFonts w:ascii="Calibri" w:eastAsia="Times New Roman" w:hAnsi="Calibri" w:cs="Calibri"/>
              </w:rPr>
              <w:t xml:space="preserve"> .</w:t>
            </w:r>
          </w:p>
        </w:tc>
      </w:tr>
      <w:tr w:rsidR="00537B4F" w:rsidRPr="00537B4F" w14:paraId="585AFFD5" w14:textId="77777777" w:rsidTr="008F7E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BDBD8" w14:textId="4CF21573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lastRenderedPageBreak/>
              <w:t xml:space="preserve">L'engagement </w:t>
            </w:r>
            <w:r w:rsidR="008F7ECC">
              <w:rPr>
                <w:rFonts w:ascii="Calibri" w:eastAsia="Times New Roman" w:hAnsi="Calibri" w:cs="Calibri"/>
              </w:rPr>
              <w:t>faiblit</w:t>
            </w:r>
            <w:r w:rsidRPr="00537B4F">
              <w:rPr>
                <w:rFonts w:ascii="Calibri" w:eastAsia="Times New Roman" w:hAnsi="Calibri" w:cs="Calibri"/>
              </w:rPr>
              <w:t xml:space="preserve"> après la première certification </w:t>
            </w:r>
            <w:r w:rsidR="008F7ECC">
              <w:rPr>
                <w:rFonts w:ascii="Calibri" w:eastAsia="Times New Roman" w:hAnsi="Calibri" w:cs="Calibri"/>
              </w:rPr>
              <w:t>Coq vert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DBFD1" w14:textId="11270A02" w:rsidR="00537B4F" w:rsidRPr="00537B4F" w:rsidRDefault="00537B4F" w:rsidP="00537B4F">
            <w:pPr>
              <w:rPr>
                <w:rFonts w:ascii="Times New Roman" w:eastAsia="Times New Roman" w:hAnsi="Times New Roman" w:cs="Times New Roman"/>
              </w:rPr>
            </w:pPr>
            <w:r w:rsidRPr="00537B4F">
              <w:rPr>
                <w:rFonts w:ascii="Calibri" w:eastAsia="Times New Roman" w:hAnsi="Calibri" w:cs="Calibri"/>
              </w:rPr>
              <w:t>parce qu</w:t>
            </w:r>
            <w:r w:rsidR="008F7ECC">
              <w:rPr>
                <w:rFonts w:ascii="Calibri" w:eastAsia="Times New Roman" w:hAnsi="Calibri" w:cs="Calibri"/>
              </w:rPr>
              <w:t xml:space="preserve">e l’équipe Environnement estime qu’il y a peu de leviers d’action </w:t>
            </w:r>
            <w:r w:rsidRPr="00537B4F">
              <w:rPr>
                <w:rFonts w:ascii="Calibri" w:eastAsia="Times New Roman" w:hAnsi="Calibri" w:cs="Calibri"/>
              </w:rPr>
              <w:t>ou parce que le potentiel d'amélioration restant est jugé trop faible.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24804F" w14:textId="03E50FA9" w:rsidR="00537B4F" w:rsidRPr="00537B4F" w:rsidRDefault="008F7ECC" w:rsidP="00537B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Nous pouvons é</w:t>
            </w:r>
            <w:r w:rsidR="00537B4F" w:rsidRPr="00537B4F">
              <w:rPr>
                <w:rFonts w:ascii="Calibri" w:eastAsia="Times New Roman" w:hAnsi="Calibri" w:cs="Calibri"/>
              </w:rPr>
              <w:t>labor</w:t>
            </w:r>
            <w:r>
              <w:rPr>
                <w:rFonts w:ascii="Calibri" w:eastAsia="Times New Roman" w:hAnsi="Calibri" w:cs="Calibri"/>
              </w:rPr>
              <w:t>er</w:t>
            </w:r>
            <w:r w:rsidR="00537B4F" w:rsidRPr="00537B4F">
              <w:rPr>
                <w:rFonts w:ascii="Calibri" w:eastAsia="Times New Roman" w:hAnsi="Calibri" w:cs="Calibri"/>
              </w:rPr>
              <w:t xml:space="preserve"> de nouveaux objectifs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37B4F">
              <w:rPr>
                <w:rFonts w:ascii="Calibri" w:eastAsia="Times New Roman" w:hAnsi="Calibri" w:cs="Calibri"/>
              </w:rPr>
              <w:t>de manière créative</w:t>
            </w:r>
            <w:r w:rsidR="00537B4F" w:rsidRPr="00537B4F">
              <w:rPr>
                <w:rFonts w:ascii="Calibri" w:eastAsia="Times New Roman" w:hAnsi="Calibri" w:cs="Calibri"/>
              </w:rPr>
              <w:t xml:space="preserve"> .</w:t>
            </w:r>
          </w:p>
        </w:tc>
      </w:tr>
    </w:tbl>
    <w:p w14:paraId="66F23143" w14:textId="77777777" w:rsidR="00321B83" w:rsidRDefault="00187DA6"/>
    <w:sectPr w:rsidR="00321B83" w:rsidSect="005D2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D26D" w14:textId="77777777" w:rsidR="00187DA6" w:rsidRDefault="00187DA6" w:rsidP="00626E50">
      <w:r>
        <w:separator/>
      </w:r>
    </w:p>
  </w:endnote>
  <w:endnote w:type="continuationSeparator" w:id="0">
    <w:p w14:paraId="03B25FC5" w14:textId="77777777" w:rsidR="00187DA6" w:rsidRDefault="00187DA6" w:rsidP="0062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6629" w14:textId="77777777" w:rsidR="00521DCF" w:rsidRDefault="00521D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C0AE" w14:textId="77777777" w:rsidR="00521DCF" w:rsidRDefault="00521D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768E" w14:textId="77777777" w:rsidR="00521DCF" w:rsidRDefault="00521D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25CC" w14:textId="77777777" w:rsidR="00187DA6" w:rsidRDefault="00187DA6" w:rsidP="00626E50">
      <w:r>
        <w:separator/>
      </w:r>
    </w:p>
  </w:footnote>
  <w:footnote w:type="continuationSeparator" w:id="0">
    <w:p w14:paraId="22EEDC33" w14:textId="77777777" w:rsidR="00187DA6" w:rsidRDefault="00187DA6" w:rsidP="0062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71B3" w14:textId="77777777" w:rsidR="00521DCF" w:rsidRDefault="00521D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FE0" w14:textId="644AF657" w:rsidR="007B233B" w:rsidRPr="00537B4F" w:rsidRDefault="00521DCF" w:rsidP="007B233B">
    <w:pPr>
      <w:rPr>
        <w:rFonts w:ascii="Times New Roman" w:eastAsia="Times New Roman" w:hAnsi="Times New Roman" w:cs="Times New Roman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7E08BC1" wp14:editId="5A4BC18B">
          <wp:simplePos x="0" y="0"/>
          <wp:positionH relativeFrom="margin">
            <wp:posOffset>4885765</wp:posOffset>
          </wp:positionH>
          <wp:positionV relativeFrom="margin">
            <wp:posOffset>-854822</wp:posOffset>
          </wp:positionV>
          <wp:extent cx="741600" cy="738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5E4">
      <w:rPr>
        <w:rFonts w:ascii="Trebuchet MS" w:eastAsia="Times New Roman" w:hAnsi="Trebuchet MS" w:cs="Times New Roman"/>
        <w:b/>
        <w:bCs/>
        <w:color w:val="76923C"/>
        <w:sz w:val="28"/>
        <w:szCs w:val="28"/>
      </w:rPr>
      <w:t>R</w:t>
    </w:r>
    <w:r w:rsidR="007B233B" w:rsidRPr="00537B4F">
      <w:rPr>
        <w:rFonts w:ascii="Trebuchet MS" w:eastAsia="Times New Roman" w:hAnsi="Trebuchet MS" w:cs="Times New Roman"/>
        <w:b/>
        <w:bCs/>
        <w:color w:val="76923C"/>
        <w:sz w:val="28"/>
        <w:szCs w:val="28"/>
      </w:rPr>
      <w:t xml:space="preserve">isques </w:t>
    </w:r>
    <w:r w:rsidR="007B233B">
      <w:rPr>
        <w:rFonts w:ascii="Trebuchet MS" w:eastAsia="Times New Roman" w:hAnsi="Trebuchet MS" w:cs="Times New Roman"/>
        <w:b/>
        <w:bCs/>
        <w:color w:val="76923C"/>
        <w:sz w:val="28"/>
        <w:szCs w:val="28"/>
      </w:rPr>
      <w:t>et o</w:t>
    </w:r>
    <w:r w:rsidR="007B233B" w:rsidRPr="00537B4F">
      <w:rPr>
        <w:rFonts w:ascii="Trebuchet MS" w:eastAsia="Times New Roman" w:hAnsi="Trebuchet MS" w:cs="Times New Roman"/>
        <w:b/>
        <w:bCs/>
        <w:color w:val="76923C"/>
        <w:sz w:val="28"/>
        <w:szCs w:val="28"/>
      </w:rPr>
      <w:t>pportunités (1 M )</w:t>
    </w:r>
    <w:r w:rsidR="005D25E4">
      <w:rPr>
        <w:rFonts w:ascii="Trebuchet MS" w:eastAsia="Times New Roman" w:hAnsi="Trebuchet MS" w:cs="Times New Roman"/>
        <w:b/>
        <w:bCs/>
        <w:color w:val="76923C"/>
        <w:sz w:val="28"/>
        <w:szCs w:val="28"/>
      </w:rPr>
      <w:tab/>
    </w:r>
    <w:r w:rsidR="005D25E4">
      <w:rPr>
        <w:rFonts w:ascii="Trebuchet MS" w:eastAsia="Times New Roman" w:hAnsi="Trebuchet MS" w:cs="Times New Roman"/>
        <w:b/>
        <w:bCs/>
        <w:color w:val="76923C"/>
        <w:sz w:val="28"/>
        <w:szCs w:val="28"/>
      </w:rPr>
      <w:tab/>
    </w:r>
    <w:r w:rsidR="005D25E4">
      <w:rPr>
        <w:rFonts w:ascii="Trebuchet MS" w:eastAsia="Times New Roman" w:hAnsi="Trebuchet MS" w:cs="Times New Roman"/>
        <w:b/>
        <w:bCs/>
        <w:color w:val="76923C"/>
        <w:sz w:val="28"/>
        <w:szCs w:val="28"/>
      </w:rPr>
      <w:tab/>
    </w:r>
    <w:r w:rsidR="005D25E4">
      <w:rPr>
        <w:rFonts w:ascii="Trebuchet MS" w:eastAsia="Times New Roman" w:hAnsi="Trebuchet MS" w:cs="Times New Roman"/>
        <w:b/>
        <w:bCs/>
        <w:color w:val="76923C"/>
        <w:sz w:val="28"/>
        <w:szCs w:val="28"/>
      </w:rPr>
      <w:tab/>
    </w:r>
  </w:p>
  <w:p w14:paraId="129AB012" w14:textId="77777777" w:rsidR="005D25E4" w:rsidRDefault="005D25E4">
    <w:pPr>
      <w:pStyle w:val="En-tte"/>
    </w:pPr>
  </w:p>
  <w:p w14:paraId="5B8082D8" w14:textId="77777777" w:rsidR="005D25E4" w:rsidRDefault="005D25E4">
    <w:pPr>
      <w:pStyle w:val="En-tte"/>
    </w:pPr>
  </w:p>
  <w:p w14:paraId="5870C331" w14:textId="53616C31" w:rsidR="00626E50" w:rsidRDefault="00626E50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2518" w14:textId="77777777" w:rsidR="00521DCF" w:rsidRDefault="00521D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4F"/>
    <w:rsid w:val="00067731"/>
    <w:rsid w:val="00094C59"/>
    <w:rsid w:val="00187DA6"/>
    <w:rsid w:val="002418F5"/>
    <w:rsid w:val="00291519"/>
    <w:rsid w:val="004D4BA9"/>
    <w:rsid w:val="00521DCF"/>
    <w:rsid w:val="00537B4F"/>
    <w:rsid w:val="00537BDD"/>
    <w:rsid w:val="00545223"/>
    <w:rsid w:val="005D25E4"/>
    <w:rsid w:val="00626E50"/>
    <w:rsid w:val="00674F30"/>
    <w:rsid w:val="006C24AF"/>
    <w:rsid w:val="006F0F3D"/>
    <w:rsid w:val="00771972"/>
    <w:rsid w:val="00772F90"/>
    <w:rsid w:val="007B233B"/>
    <w:rsid w:val="00824EDC"/>
    <w:rsid w:val="008730A0"/>
    <w:rsid w:val="008F2469"/>
    <w:rsid w:val="008F7ECC"/>
    <w:rsid w:val="00976D94"/>
    <w:rsid w:val="009B4F10"/>
    <w:rsid w:val="00A443A0"/>
    <w:rsid w:val="00AE6211"/>
    <w:rsid w:val="00BC72D9"/>
    <w:rsid w:val="00C00DD4"/>
    <w:rsid w:val="00C763AB"/>
    <w:rsid w:val="00CF2ED3"/>
    <w:rsid w:val="00D138CF"/>
    <w:rsid w:val="00D94412"/>
    <w:rsid w:val="00E70FA4"/>
    <w:rsid w:val="00F2060B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460BA"/>
  <w15:chartTrackingRefBased/>
  <w15:docId w15:val="{CFFE774F-9D02-0641-8595-65C39464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B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626E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6E50"/>
  </w:style>
  <w:style w:type="paragraph" w:styleId="Pieddepage">
    <w:name w:val="footer"/>
    <w:basedOn w:val="Normal"/>
    <w:link w:val="PieddepageCar"/>
    <w:uiPriority w:val="99"/>
    <w:unhideWhenUsed/>
    <w:rsid w:val="00626E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Roethlisberger</dc:creator>
  <cp:keywords/>
  <dc:description/>
  <cp:lastModifiedBy>Marc Roethlisberger</cp:lastModifiedBy>
  <cp:revision>30</cp:revision>
  <dcterms:created xsi:type="dcterms:W3CDTF">2021-07-14T08:02:00Z</dcterms:created>
  <dcterms:modified xsi:type="dcterms:W3CDTF">2021-12-28T16:19:00Z</dcterms:modified>
</cp:coreProperties>
</file>